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6A9E" w14:textId="49D86626" w:rsidR="00E5663D" w:rsidRPr="0040435D" w:rsidRDefault="00E5663D" w:rsidP="00E566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3A2268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  <w:r w:rsidRPr="0040435D">
        <w:rPr>
          <w:rFonts w:ascii="Arial" w:hAnsi="Arial" w:cs="Arial"/>
          <w:b/>
          <w:sz w:val="20"/>
          <w:szCs w:val="20"/>
        </w:rPr>
        <w:t>INFORME GLOBAL DE COMENTARIOS</w:t>
      </w:r>
    </w:p>
    <w:p w14:paraId="3E46C81F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  <w:r w:rsidRPr="0040435D">
        <w:rPr>
          <w:rFonts w:ascii="Arial" w:hAnsi="Arial" w:cs="Arial"/>
          <w:b/>
          <w:sz w:val="20"/>
          <w:szCs w:val="20"/>
        </w:rPr>
        <w:t>PROYECTO DE NORMATIVIDAD</w:t>
      </w:r>
    </w:p>
    <w:p w14:paraId="3C782D05" w14:textId="77777777" w:rsidR="004F08AA" w:rsidRPr="0040435D" w:rsidRDefault="004F08AA" w:rsidP="004F08AA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7289" w:type="dxa"/>
        <w:tblLook w:val="04A0" w:firstRow="1" w:lastRow="0" w:firstColumn="1" w:lastColumn="0" w:noHBand="0" w:noVBand="1"/>
      </w:tblPr>
      <w:tblGrid>
        <w:gridCol w:w="2405"/>
        <w:gridCol w:w="1947"/>
        <w:gridCol w:w="872"/>
        <w:gridCol w:w="1078"/>
        <w:gridCol w:w="1773"/>
        <w:gridCol w:w="1559"/>
        <w:gridCol w:w="7655"/>
      </w:tblGrid>
      <w:tr w:rsidR="004F08AA" w:rsidRPr="0040435D" w14:paraId="742A99D6" w14:textId="77777777" w:rsidTr="00E94604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7E6" w14:textId="77777777" w:rsidR="004F08AA" w:rsidRPr="0040435D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3B2A1FA7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Norma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0F20" w14:textId="77777777" w:rsidR="004F08AA" w:rsidRPr="0040435D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20A2713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Objeto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5B0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Publicación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45FD" w14:textId="77777777" w:rsidR="004F08AA" w:rsidRPr="0040435D" w:rsidRDefault="004F08A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44B2C577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Plazo para comentarios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5CF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6872F5ED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Comentarios recibidos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9FD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</w:p>
          <w:p w14:paraId="59C1A02C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Análisis de viabilidad</w:t>
            </w:r>
          </w:p>
        </w:tc>
      </w:tr>
      <w:tr w:rsidR="004F08AA" w:rsidRPr="0040435D" w14:paraId="511E4EA5" w14:textId="77777777" w:rsidTr="00E94604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AF7D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14EA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5249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Página web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AF55" w14:textId="77777777" w:rsidR="004F08AA" w:rsidRPr="0040435D" w:rsidRDefault="004F08A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Sede física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308A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DBE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CA64" w14:textId="77777777" w:rsidR="004F08AA" w:rsidRPr="0040435D" w:rsidRDefault="004F08A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</w:p>
        </w:tc>
      </w:tr>
      <w:tr w:rsidR="004F08AA" w:rsidRPr="0040435D" w14:paraId="014E7EAE" w14:textId="77777777" w:rsidTr="00E9460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45A" w14:textId="2BCA5FE4" w:rsidR="00E464A2" w:rsidRDefault="00766379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R</w:t>
            </w:r>
            <w:r w:rsidRPr="00766379">
              <w:rPr>
                <w:rFonts w:ascii="Arial" w:hAnsi="Arial" w:cs="Arial"/>
                <w:sz w:val="20"/>
                <w:szCs w:val="20"/>
                <w:lang w:eastAsia="es-CO"/>
              </w:rPr>
              <w:t>esolución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E464A2">
              <w:rPr>
                <w:rFonts w:ascii="Arial" w:hAnsi="Arial" w:cs="Arial"/>
                <w:sz w:val="20"/>
                <w:szCs w:val="20"/>
                <w:lang w:eastAsia="es-CO"/>
              </w:rPr>
              <w:t xml:space="preserve">(Actualización del </w:t>
            </w:r>
            <w:r w:rsidR="00D570F4" w:rsidRPr="00D570F4">
              <w:rPr>
                <w:rFonts w:ascii="Arial" w:hAnsi="Arial" w:cs="Arial"/>
                <w:sz w:val="20"/>
                <w:szCs w:val="20"/>
                <w:lang w:eastAsia="es-CO"/>
              </w:rPr>
              <w:t>Sistema de Control Interno en el Fondo de Garantías de Instituciones Financieras</w:t>
            </w:r>
            <w:r w:rsidR="00E464A2">
              <w:rPr>
                <w:rFonts w:ascii="Arial" w:hAnsi="Arial" w:cs="Arial"/>
                <w:sz w:val="20"/>
                <w:szCs w:val="20"/>
                <w:lang w:eastAsia="es-CO"/>
              </w:rPr>
              <w:t xml:space="preserve"> - FOGAFÍN)</w:t>
            </w:r>
          </w:p>
          <w:p w14:paraId="138E8ED4" w14:textId="77777777" w:rsidR="00E464A2" w:rsidRDefault="00E464A2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4F9F7CD5" w14:textId="0DCD85B9" w:rsidR="004F08AA" w:rsidRPr="0040435D" w:rsidRDefault="00D570F4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D570F4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61D0" w14:textId="0008A5EB" w:rsidR="00E464A2" w:rsidRPr="00E464A2" w:rsidRDefault="00766379" w:rsidP="00E464A2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Actualización del </w:t>
            </w:r>
            <w:r w:rsidRPr="00766379">
              <w:rPr>
                <w:rFonts w:ascii="Arial" w:hAnsi="Arial" w:cs="Arial"/>
                <w:sz w:val="20"/>
                <w:szCs w:val="20"/>
                <w:lang w:eastAsia="es-CO"/>
              </w:rPr>
              <w:t xml:space="preserve">Sistema de Control Interno </w:t>
            </w:r>
          </w:p>
          <w:p w14:paraId="25017835" w14:textId="6D5B478A" w:rsidR="00E464A2" w:rsidRDefault="00026690" w:rsidP="00546A98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en cumplimiento de lo </w:t>
            </w:r>
            <w:r w:rsidR="00E464A2" w:rsidRPr="00E464A2">
              <w:rPr>
                <w:rFonts w:ascii="Arial" w:hAnsi="Arial" w:cs="Arial"/>
                <w:sz w:val="20"/>
                <w:szCs w:val="20"/>
                <w:lang w:eastAsia="es-CO"/>
              </w:rPr>
              <w:t>establecid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o</w:t>
            </w:r>
            <w:r w:rsidR="00E464A2" w:rsidRPr="00E464A2">
              <w:rPr>
                <w:rFonts w:ascii="Arial" w:hAnsi="Arial" w:cs="Arial"/>
                <w:sz w:val="20"/>
                <w:szCs w:val="20"/>
                <w:lang w:eastAsia="es-CO"/>
              </w:rPr>
              <w:t xml:space="preserve"> en el Capítulo IV del Título I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E464A2" w:rsidRPr="00E464A2">
              <w:rPr>
                <w:rFonts w:ascii="Arial" w:hAnsi="Arial" w:cs="Arial"/>
                <w:sz w:val="20"/>
                <w:szCs w:val="20"/>
                <w:lang w:eastAsia="es-CO"/>
              </w:rPr>
              <w:t>de la Parte I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E464A2" w:rsidRPr="00E464A2">
              <w:rPr>
                <w:rFonts w:ascii="Arial" w:hAnsi="Arial" w:cs="Arial"/>
                <w:sz w:val="20"/>
                <w:szCs w:val="20"/>
                <w:lang w:eastAsia="es-CO"/>
              </w:rPr>
              <w:t>de la Circular Básica Jurídica de la Superintendencia Financiera de Colombia</w:t>
            </w:r>
            <w:r w:rsidR="009869B3">
              <w:rPr>
                <w:rFonts w:ascii="Arial" w:hAnsi="Arial" w:cs="Arial"/>
                <w:sz w:val="20"/>
                <w:szCs w:val="20"/>
                <w:lang w:eastAsia="es-CO"/>
              </w:rPr>
              <w:t xml:space="preserve"> -SFC-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,</w:t>
            </w:r>
            <w:r w:rsidR="00E464A2" w:rsidRPr="00E464A2">
              <w:rPr>
                <w:rFonts w:ascii="Arial" w:hAnsi="Arial" w:cs="Arial"/>
                <w:sz w:val="20"/>
                <w:szCs w:val="20"/>
                <w:lang w:eastAsia="es-CO"/>
              </w:rPr>
              <w:t xml:space="preserve"> y en el Decreto 1083 del 26 de mayo de 2015 del Departamento Administrativo de la Función Pública</w:t>
            </w:r>
            <w:r w:rsidR="009869B3">
              <w:rPr>
                <w:rFonts w:ascii="Arial" w:hAnsi="Arial" w:cs="Arial"/>
                <w:sz w:val="20"/>
                <w:szCs w:val="20"/>
                <w:lang w:eastAsia="es-CO"/>
              </w:rPr>
              <w:t xml:space="preserve"> -DAFP</w:t>
            </w:r>
          </w:p>
          <w:p w14:paraId="69F5D980" w14:textId="485BB93B" w:rsidR="00E464A2" w:rsidRPr="0040435D" w:rsidRDefault="00E464A2" w:rsidP="00546A98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F0C0" w14:textId="77777777" w:rsidR="004F08AA" w:rsidRPr="0040435D" w:rsidRDefault="004F08AA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sz w:val="20"/>
                <w:szCs w:val="20"/>
                <w:lang w:eastAsia="es-CO"/>
              </w:rPr>
              <w:t>Sí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A2C8" w14:textId="77777777" w:rsidR="004F08AA" w:rsidRPr="0040435D" w:rsidRDefault="004F08AA">
            <w:pPr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Sí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B2DD" w14:textId="2E6E23F3" w:rsidR="004F08AA" w:rsidRPr="0040435D" w:rsidRDefault="00026690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Del </w:t>
            </w:r>
            <w:r w:rsidR="00766379">
              <w:rPr>
                <w:rFonts w:ascii="Arial" w:hAnsi="Arial" w:cs="Arial"/>
                <w:sz w:val="20"/>
                <w:szCs w:val="20"/>
                <w:lang w:eastAsia="es-CO"/>
              </w:rPr>
              <w:t>8</w:t>
            </w:r>
            <w:r w:rsidR="004F08AA"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 al </w:t>
            </w:r>
            <w:r w:rsidR="00766379">
              <w:rPr>
                <w:rFonts w:ascii="Arial" w:hAnsi="Arial" w:cs="Arial"/>
                <w:sz w:val="20"/>
                <w:szCs w:val="20"/>
                <w:lang w:eastAsia="es-CO"/>
              </w:rPr>
              <w:t>12</w:t>
            </w:r>
            <w:r w:rsidR="004F08AA"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 de </w:t>
            </w:r>
            <w:r w:rsidR="00766379">
              <w:rPr>
                <w:rFonts w:ascii="Arial" w:hAnsi="Arial" w:cs="Arial"/>
                <w:sz w:val="20"/>
                <w:szCs w:val="20"/>
                <w:lang w:eastAsia="es-CO"/>
              </w:rPr>
              <w:t>abril</w:t>
            </w:r>
            <w:r w:rsidR="007F11DE" w:rsidRPr="0040435D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4F08AA" w:rsidRPr="0040435D">
              <w:rPr>
                <w:rFonts w:ascii="Arial" w:hAnsi="Arial" w:cs="Arial"/>
                <w:sz w:val="20"/>
                <w:szCs w:val="20"/>
                <w:lang w:eastAsia="es-CO"/>
              </w:rPr>
              <w:t>de 202</w:t>
            </w:r>
            <w:r w:rsidR="00766379">
              <w:rPr>
                <w:rFonts w:ascii="Arial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AAD1" w14:textId="208FC028" w:rsidR="004F08AA" w:rsidRPr="0040435D" w:rsidRDefault="00766379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Se recibieron comentarios de Asobancaria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E84B" w14:textId="77777777" w:rsidR="004F08AA" w:rsidRPr="0040435D" w:rsidRDefault="004F08AA">
            <w:pPr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</w:p>
          <w:p w14:paraId="580D7351" w14:textId="1FFE3355" w:rsidR="004F08AA" w:rsidRPr="0040435D" w:rsidRDefault="004F08AA" w:rsidP="004F08AA">
            <w:pPr>
              <w:pStyle w:val="Prrafodelista"/>
              <w:numPr>
                <w:ilvl w:val="0"/>
                <w:numId w:val="9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 xml:space="preserve">Análisis de los comentarios recibidos. </w:t>
            </w:r>
            <w:r w:rsidR="00E464A2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Los comentarios se refieren a precisar en el proyecto de Resolución los objetivos del Sistema de Control Interno, incorporar la función de monitoreo dentro de las gestiones a cargo de la segunda línea, y en relación con la auditoría interna precisar que, como tercera línea de defensa, le corresponde ejecutar actividades de aseguramiento y asesoría independiente</w:t>
            </w:r>
            <w:r w:rsidR="00766379" w:rsidRPr="00766379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>.</w:t>
            </w:r>
            <w:r w:rsidR="0004741D">
              <w:rPr>
                <w:rFonts w:ascii="Arial" w:hAnsi="Arial" w:cs="Arial"/>
                <w:bCs/>
                <w:sz w:val="20"/>
                <w:szCs w:val="20"/>
                <w:lang w:val="es-CO" w:eastAsia="es-CO"/>
              </w:rPr>
              <w:t xml:space="preserve"> Los comentarios fueron revisados e incorporados en la Resolución.</w:t>
            </w:r>
          </w:p>
          <w:p w14:paraId="170DBDC0" w14:textId="77777777" w:rsidR="004F08AA" w:rsidRPr="0040435D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053521A1" w14:textId="5265FA97" w:rsidR="004F08AA" w:rsidRPr="0040435D" w:rsidRDefault="004F08AA" w:rsidP="004F08AA">
            <w:pPr>
              <w:pStyle w:val="Prrafodelista"/>
              <w:numPr>
                <w:ilvl w:val="0"/>
                <w:numId w:val="9"/>
              </w:numPr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Antecedentes y razones de oportunidad del proyecto normativo: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En cumplimiento </w:t>
            </w:r>
            <w:r w:rsidR="00E82185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de 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lo establecido en </w:t>
            </w:r>
            <w:r w:rsidR="00E82185">
              <w:rPr>
                <w:rFonts w:ascii="Arial" w:hAnsi="Arial" w:cs="Arial"/>
                <w:sz w:val="20"/>
                <w:szCs w:val="20"/>
                <w:lang w:val="es-CO" w:eastAsia="es-CO"/>
              </w:rPr>
              <w:t>el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E82185" w:rsidRPr="00E464A2">
              <w:rPr>
                <w:rFonts w:ascii="Arial" w:hAnsi="Arial" w:cs="Arial"/>
                <w:sz w:val="20"/>
                <w:szCs w:val="20"/>
                <w:lang w:eastAsia="es-CO"/>
              </w:rPr>
              <w:t>Capítulo IV del Título I</w:t>
            </w:r>
            <w:r w:rsidR="00026690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E82185" w:rsidRPr="00E464A2">
              <w:rPr>
                <w:rFonts w:ascii="Arial" w:hAnsi="Arial" w:cs="Arial"/>
                <w:sz w:val="20"/>
                <w:szCs w:val="20"/>
                <w:lang w:eastAsia="es-CO"/>
              </w:rPr>
              <w:t>de la Parte I</w:t>
            </w:r>
            <w:r w:rsidR="00E82185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="00E82185" w:rsidRPr="00E464A2">
              <w:rPr>
                <w:rFonts w:ascii="Arial" w:hAnsi="Arial" w:cs="Arial"/>
                <w:sz w:val="20"/>
                <w:szCs w:val="20"/>
                <w:lang w:eastAsia="es-CO"/>
              </w:rPr>
              <w:t>de la Circular Básica Jurídica de la Superintendencia Financiera de Colombia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y </w:t>
            </w:r>
            <w:r w:rsidR="00E82185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en 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las normas aplicables del Decreto 1083 de 2025 del </w:t>
            </w:r>
            <w:r w:rsidR="00E82185" w:rsidRPr="00E464A2">
              <w:rPr>
                <w:rFonts w:ascii="Arial" w:hAnsi="Arial" w:cs="Arial"/>
                <w:sz w:val="20"/>
                <w:szCs w:val="20"/>
                <w:lang w:eastAsia="es-CO"/>
              </w:rPr>
              <w:t xml:space="preserve">Departamento Administrativo de la Función </w:t>
            </w:r>
            <w:r w:rsidR="00E82185" w:rsidRPr="00E464A2">
              <w:rPr>
                <w:rFonts w:ascii="Arial" w:hAnsi="Arial" w:cs="Arial"/>
                <w:sz w:val="20"/>
                <w:szCs w:val="20"/>
                <w:lang w:eastAsia="es-CO"/>
              </w:rPr>
              <w:t>Publica</w:t>
            </w:r>
            <w:r w:rsidR="00E82185">
              <w:rPr>
                <w:rFonts w:ascii="Arial" w:hAnsi="Arial" w:cs="Arial"/>
                <w:sz w:val="20"/>
                <w:szCs w:val="20"/>
                <w:lang w:eastAsia="es-CO"/>
              </w:rPr>
              <w:t>,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se hace necesario actualizar </w:t>
            </w:r>
            <w:r w:rsidR="00766379" w:rsidRPr="00766379">
              <w:rPr>
                <w:rFonts w:ascii="Arial" w:hAnsi="Arial" w:cs="Arial"/>
                <w:sz w:val="20"/>
                <w:szCs w:val="20"/>
                <w:lang w:val="es-CO" w:eastAsia="es-CO"/>
              </w:rPr>
              <w:t>el Sistema de Control Interno en el Fondo de Garantías de Instituciones Financieras.</w:t>
            </w:r>
          </w:p>
          <w:p w14:paraId="6257DDC6" w14:textId="77777777" w:rsidR="004F08AA" w:rsidRPr="0040435D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5FE3EF49" w14:textId="6A6BC1DB" w:rsidR="004F08AA" w:rsidRPr="0040435D" w:rsidRDefault="004F08AA" w:rsidP="004F08AA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Normas que otorgan competencia para la expedición de la norma: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>El</w:t>
            </w:r>
            <w:r w:rsidR="00766379" w:rsidRPr="00766379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>A</w:t>
            </w:r>
            <w:r w:rsidR="00766379" w:rsidRPr="00766379">
              <w:rPr>
                <w:rFonts w:ascii="Arial" w:hAnsi="Arial" w:cs="Arial"/>
                <w:sz w:val="20"/>
                <w:szCs w:val="20"/>
                <w:lang w:val="es-CO" w:eastAsia="es-CO"/>
              </w:rPr>
              <w:t>rtículo 9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>, literal b)</w:t>
            </w:r>
            <w:r w:rsidR="00766379" w:rsidRPr="00766379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del Decreto 1596 de 2016</w:t>
            </w:r>
            <w:r w:rsidR="009869B3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(Estatutos de Fogafín)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465FB51C" w14:textId="77777777" w:rsidR="004F08AA" w:rsidRPr="0040435D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  <w:p w14:paraId="60B3DB19" w14:textId="0FDAD629" w:rsidR="004F08AA" w:rsidRPr="0040435D" w:rsidRDefault="004F08AA" w:rsidP="004F08AA">
            <w:pPr>
              <w:pStyle w:val="Prrafodelista"/>
              <w:numPr>
                <w:ilvl w:val="0"/>
                <w:numId w:val="9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40435D">
              <w:rPr>
                <w:rFonts w:ascii="Arial" w:hAnsi="Arial" w:cs="Arial"/>
                <w:b/>
                <w:sz w:val="20"/>
                <w:szCs w:val="20"/>
                <w:lang w:val="es-CO" w:eastAsia="es-CO"/>
              </w:rPr>
              <w:t>Disposiciones derogadas, subrogadas, modificadas, adicionadas o sustituidas:</w:t>
            </w:r>
            <w:r w:rsidRPr="0040435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04741D">
              <w:rPr>
                <w:rFonts w:ascii="Arial" w:hAnsi="Arial" w:cs="Arial"/>
                <w:sz w:val="20"/>
                <w:szCs w:val="20"/>
                <w:lang w:val="es-CO" w:eastAsia="es-CO"/>
              </w:rPr>
              <w:t xml:space="preserve">Se deroga la </w:t>
            </w:r>
            <w:r w:rsidR="00766379" w:rsidRPr="00766379">
              <w:rPr>
                <w:rFonts w:ascii="Arial" w:hAnsi="Arial" w:cs="Arial"/>
                <w:sz w:val="20"/>
                <w:szCs w:val="20"/>
                <w:lang w:val="es-CO" w:eastAsia="es-CO"/>
              </w:rPr>
              <w:t>Resolución No. 004 del 15 de octubre de 2014</w:t>
            </w:r>
            <w:r w:rsidR="00E464A2">
              <w:rPr>
                <w:rFonts w:ascii="Arial" w:hAnsi="Arial" w:cs="Arial"/>
                <w:sz w:val="20"/>
                <w:szCs w:val="20"/>
                <w:lang w:val="es-CO" w:eastAsia="es-CO"/>
              </w:rPr>
              <w:t>.</w:t>
            </w:r>
          </w:p>
          <w:p w14:paraId="6EE92572" w14:textId="77777777" w:rsidR="004F08AA" w:rsidRPr="00766379" w:rsidRDefault="004F08AA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</w:tr>
    </w:tbl>
    <w:p w14:paraId="5413EBCA" w14:textId="77777777" w:rsidR="00E5663D" w:rsidRPr="0040435D" w:rsidRDefault="00E5663D" w:rsidP="00714C0B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5663D" w:rsidRPr="0040435D" w:rsidSect="000F7C7E">
      <w:headerReference w:type="default" r:id="rId7"/>
      <w:footerReference w:type="default" r:id="rId8"/>
      <w:pgSz w:w="20160" w:h="12240" w:orient="landscape" w:code="5"/>
      <w:pgMar w:top="1699" w:right="2275" w:bottom="1138" w:left="1418" w:header="720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3857" w14:textId="77777777" w:rsidR="000F7C7E" w:rsidRDefault="000F7C7E" w:rsidP="00E16F8F">
      <w:pPr>
        <w:spacing w:after="0" w:line="240" w:lineRule="auto"/>
      </w:pPr>
      <w:r>
        <w:separator/>
      </w:r>
    </w:p>
  </w:endnote>
  <w:endnote w:type="continuationSeparator" w:id="0">
    <w:p w14:paraId="2C54A2C3" w14:textId="77777777" w:rsidR="000F7C7E" w:rsidRDefault="000F7C7E" w:rsidP="00E1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17574" w14:textId="0BF37A8C" w:rsidR="007F20C6" w:rsidRDefault="007F20C6" w:rsidP="007F20C6">
    <w:pPr>
      <w:rPr>
        <w:rFonts w:ascii="Arial" w:hAnsi="Arial" w:cs="Arial"/>
        <w:color w:val="808080"/>
        <w:sz w:val="15"/>
        <w:szCs w:val="15"/>
        <w:lang w:eastAsia="es-CO"/>
      </w:rPr>
    </w:pPr>
  </w:p>
  <w:p w14:paraId="27A3AC92" w14:textId="0609BD12" w:rsidR="007F20C6" w:rsidRPr="007F20C6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eastAsia="Times New Roman" w:hAnsi="Arial" w:cs="Arial"/>
        <w:color w:val="808080"/>
        <w:sz w:val="15"/>
        <w:szCs w:val="15"/>
        <w:lang w:val="es-ES_tradnl" w:eastAsia="es-CO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4D20372D" w14:textId="3D2E2380" w:rsidR="007F20C6" w:rsidRPr="007F20C6" w:rsidRDefault="00213243" w:rsidP="007F20C6">
    <w:pPr>
      <w:spacing w:after="0" w:line="240" w:lineRule="auto"/>
      <w:rPr>
        <w:rFonts w:ascii="Arial" w:eastAsia="Times New Roman" w:hAnsi="Arial" w:cs="Arial"/>
        <w:color w:val="808080"/>
        <w:sz w:val="15"/>
        <w:szCs w:val="15"/>
        <w:lang w:val="es-ES_tradnl" w:eastAsia="es-CO"/>
      </w:rPr>
    </w:pPr>
    <w:r w:rsidRPr="007F20C6">
      <w:rPr>
        <w:rFonts w:ascii="Arial" w:eastAsia="Times New Roman" w:hAnsi="Arial" w:cs="Arial"/>
        <w:noProof/>
        <w:color w:val="808080"/>
        <w:sz w:val="15"/>
        <w:szCs w:val="15"/>
        <w:lang w:val="es-ES_tradnl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F5456" wp14:editId="67136513">
              <wp:simplePos x="0" y="0"/>
              <wp:positionH relativeFrom="column">
                <wp:posOffset>-5080</wp:posOffset>
              </wp:positionH>
              <wp:positionV relativeFrom="paragraph">
                <wp:posOffset>19051</wp:posOffset>
              </wp:positionV>
              <wp:extent cx="11534775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3477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5D655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5pt" to="907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" strokecolor="#a5a5a5 [2092]">
              <v:stroke joinstyle="miter"/>
            </v:line>
          </w:pict>
        </mc:Fallback>
      </mc:AlternateContent>
    </w:r>
    <w:r w:rsidR="007F20C6" w:rsidRPr="007F20C6">
      <w:rPr>
        <w:rFonts w:ascii="Arial" w:eastAsia="Times New Roman" w:hAnsi="Arial" w:cs="Arial"/>
        <w:color w:val="808080"/>
        <w:sz w:val="15"/>
        <w:szCs w:val="15"/>
        <w:lang w:val="es-ES_tradnl" w:eastAsia="es-CO"/>
      </w:rPr>
      <w:t xml:space="preserve">  </w:t>
    </w:r>
  </w:p>
  <w:p w14:paraId="67F1A6E4" w14:textId="2E14B6F3" w:rsidR="007F20C6" w:rsidRPr="00FF5F15" w:rsidRDefault="00213243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>
      <w:rPr>
        <w:rFonts w:ascii="Arial" w:hAnsi="Arial" w:cs="Arial"/>
        <w:noProof/>
        <w:color w:val="808080"/>
        <w:sz w:val="16"/>
        <w:szCs w:val="16"/>
        <w:lang w:eastAsia="es-CO"/>
      </w:rPr>
      <w:drawing>
        <wp:anchor distT="0" distB="0" distL="114300" distR="114300" simplePos="0" relativeHeight="251661312" behindDoc="1" locked="0" layoutInCell="1" allowOverlap="1" wp14:anchorId="35999832" wp14:editId="5DA4BC76">
          <wp:simplePos x="0" y="0"/>
          <wp:positionH relativeFrom="column">
            <wp:posOffset>9105900</wp:posOffset>
          </wp:positionH>
          <wp:positionV relativeFrom="paragraph">
            <wp:posOffset>9525</wp:posOffset>
          </wp:positionV>
          <wp:extent cx="2498725" cy="397510"/>
          <wp:effectExtent l="0" t="0" r="0" b="254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725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0C6"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Carrera 7 # 35 – 40, Bogotá, Colombia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C9C6819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CP 110311                                                                      </w:t>
    </w:r>
  </w:p>
  <w:p w14:paraId="575256CE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>Tel: +571 3394240 Fax: +571 2858587</w:t>
    </w:r>
  </w:p>
  <w:p w14:paraId="0CD900DE" w14:textId="77777777" w:rsidR="007F20C6" w:rsidRPr="00FF5F15" w:rsidRDefault="007F20C6" w:rsidP="007F20C6">
    <w:pPr>
      <w:spacing w:after="0" w:line="240" w:lineRule="auto"/>
      <w:rPr>
        <w:rFonts w:ascii="Arial" w:eastAsia="Times New Roman" w:hAnsi="Arial" w:cs="Arial"/>
        <w:color w:val="808080"/>
        <w:sz w:val="16"/>
        <w:szCs w:val="16"/>
        <w:lang w:val="es-ES_tradnl" w:eastAsia="es-CO"/>
      </w:rPr>
    </w:pPr>
    <w:r w:rsidRPr="00FF5F15">
      <w:rPr>
        <w:rFonts w:ascii="Arial" w:eastAsia="Times New Roman" w:hAnsi="Arial" w:cs="Arial"/>
        <w:color w:val="808080"/>
        <w:sz w:val="16"/>
        <w:szCs w:val="16"/>
        <w:lang w:val="es-ES_tradnl" w:eastAsia="es-CO"/>
      </w:rPr>
      <w:t xml:space="preserve">www.fogafin.gov.co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091C3" w14:textId="77777777" w:rsidR="000F7C7E" w:rsidRDefault="000F7C7E" w:rsidP="00E16F8F">
      <w:pPr>
        <w:spacing w:after="0" w:line="240" w:lineRule="auto"/>
      </w:pPr>
      <w:r>
        <w:separator/>
      </w:r>
    </w:p>
  </w:footnote>
  <w:footnote w:type="continuationSeparator" w:id="0">
    <w:p w14:paraId="3F393E92" w14:textId="77777777" w:rsidR="000F7C7E" w:rsidRDefault="000F7C7E" w:rsidP="00E1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70065" w14:textId="593A7F2F" w:rsidR="00BD2CFB" w:rsidRPr="00CB148F" w:rsidRDefault="009A4AB1" w:rsidP="00CB148F">
    <w:pPr>
      <w:tabs>
        <w:tab w:val="left" w:pos="1860"/>
      </w:tabs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8EBBD9F" wp14:editId="6518B413">
          <wp:simplePos x="0" y="0"/>
          <wp:positionH relativeFrom="margin">
            <wp:posOffset>58366</wp:posOffset>
          </wp:positionH>
          <wp:positionV relativeFrom="paragraph">
            <wp:posOffset>-213387</wp:posOffset>
          </wp:positionV>
          <wp:extent cx="1647825" cy="792480"/>
          <wp:effectExtent l="0" t="0" r="0" b="0"/>
          <wp:wrapNone/>
          <wp:docPr id="1511584838" name="Imagen 1" descr="C:\Users\srivera\Desktop\Logo de gobi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584838" name="Imagen 1511584838" descr="C:\Users\srivera\Desktop\Logo de gobiern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0A54"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5B30B037" wp14:editId="24F2C96C">
          <wp:simplePos x="0" y="0"/>
          <wp:positionH relativeFrom="column">
            <wp:posOffset>9459095</wp:posOffset>
          </wp:positionH>
          <wp:positionV relativeFrom="paragraph">
            <wp:posOffset>-29183</wp:posOffset>
          </wp:positionV>
          <wp:extent cx="1383030" cy="442595"/>
          <wp:effectExtent l="0" t="0" r="7620" b="0"/>
          <wp:wrapSquare wrapText="bothSides"/>
          <wp:docPr id="76" name="Imagen 11" descr="Un dibujo animado con letras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n 11" descr="Un dibujo animado con letras&#10;&#10;Descripción generada automáticamente con confianza baj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030" cy="44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  <w:r w:rsidR="00930A54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B2606"/>
    <w:multiLevelType w:val="hybridMultilevel"/>
    <w:tmpl w:val="FC8E72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29AC"/>
    <w:multiLevelType w:val="hybridMultilevel"/>
    <w:tmpl w:val="0108F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4F8"/>
    <w:multiLevelType w:val="hybridMultilevel"/>
    <w:tmpl w:val="CABAF5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A01E4"/>
    <w:multiLevelType w:val="hybridMultilevel"/>
    <w:tmpl w:val="096822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D453F"/>
    <w:multiLevelType w:val="hybridMultilevel"/>
    <w:tmpl w:val="CEAACF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A1DA5"/>
    <w:multiLevelType w:val="hybridMultilevel"/>
    <w:tmpl w:val="FBDCC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69CF"/>
    <w:multiLevelType w:val="hybridMultilevel"/>
    <w:tmpl w:val="6914C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7702D"/>
    <w:multiLevelType w:val="hybridMultilevel"/>
    <w:tmpl w:val="5F40AC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111EA"/>
    <w:multiLevelType w:val="hybridMultilevel"/>
    <w:tmpl w:val="697635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6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2097356">
    <w:abstractNumId w:val="1"/>
  </w:num>
  <w:num w:numId="3" w16cid:durableId="978069368">
    <w:abstractNumId w:val="3"/>
  </w:num>
  <w:num w:numId="4" w16cid:durableId="302471119">
    <w:abstractNumId w:val="6"/>
  </w:num>
  <w:num w:numId="5" w16cid:durableId="514002871">
    <w:abstractNumId w:val="7"/>
  </w:num>
  <w:num w:numId="6" w16cid:durableId="1388187800">
    <w:abstractNumId w:val="8"/>
  </w:num>
  <w:num w:numId="7" w16cid:durableId="601844495">
    <w:abstractNumId w:val="2"/>
  </w:num>
  <w:num w:numId="8" w16cid:durableId="1437628499">
    <w:abstractNumId w:val="5"/>
  </w:num>
  <w:num w:numId="9" w16cid:durableId="11868670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79"/>
    <w:rsid w:val="00002D48"/>
    <w:rsid w:val="00004209"/>
    <w:rsid w:val="00007AD7"/>
    <w:rsid w:val="00007BCC"/>
    <w:rsid w:val="00022760"/>
    <w:rsid w:val="00026690"/>
    <w:rsid w:val="0004741D"/>
    <w:rsid w:val="00054FF3"/>
    <w:rsid w:val="00060EC1"/>
    <w:rsid w:val="0007507A"/>
    <w:rsid w:val="0009098A"/>
    <w:rsid w:val="00095F21"/>
    <w:rsid w:val="000B0407"/>
    <w:rsid w:val="000B451B"/>
    <w:rsid w:val="000B6531"/>
    <w:rsid w:val="000C729E"/>
    <w:rsid w:val="000D6838"/>
    <w:rsid w:val="000D6BE7"/>
    <w:rsid w:val="000D7EE7"/>
    <w:rsid w:val="000E4421"/>
    <w:rsid w:val="000E5F9B"/>
    <w:rsid w:val="000F7C7E"/>
    <w:rsid w:val="001000BC"/>
    <w:rsid w:val="00110D32"/>
    <w:rsid w:val="00110F22"/>
    <w:rsid w:val="00121C34"/>
    <w:rsid w:val="001279BA"/>
    <w:rsid w:val="00130615"/>
    <w:rsid w:val="001321F7"/>
    <w:rsid w:val="00132862"/>
    <w:rsid w:val="001337F2"/>
    <w:rsid w:val="00153827"/>
    <w:rsid w:val="00167AAA"/>
    <w:rsid w:val="0018631E"/>
    <w:rsid w:val="00194864"/>
    <w:rsid w:val="00195235"/>
    <w:rsid w:val="001965A1"/>
    <w:rsid w:val="001A141B"/>
    <w:rsid w:val="001A6F4C"/>
    <w:rsid w:val="001E14B0"/>
    <w:rsid w:val="001E2019"/>
    <w:rsid w:val="001E4CE7"/>
    <w:rsid w:val="001E7F9B"/>
    <w:rsid w:val="001F16DA"/>
    <w:rsid w:val="00200480"/>
    <w:rsid w:val="002035E9"/>
    <w:rsid w:val="002038AB"/>
    <w:rsid w:val="002061E3"/>
    <w:rsid w:val="00206F90"/>
    <w:rsid w:val="00211FC1"/>
    <w:rsid w:val="00213243"/>
    <w:rsid w:val="00230927"/>
    <w:rsid w:val="0023099D"/>
    <w:rsid w:val="0024089D"/>
    <w:rsid w:val="00254773"/>
    <w:rsid w:val="00270909"/>
    <w:rsid w:val="00280C77"/>
    <w:rsid w:val="0028774A"/>
    <w:rsid w:val="00294029"/>
    <w:rsid w:val="00296B6C"/>
    <w:rsid w:val="002A54AF"/>
    <w:rsid w:val="002B07C9"/>
    <w:rsid w:val="002B2AAB"/>
    <w:rsid w:val="002B2B00"/>
    <w:rsid w:val="002D12DF"/>
    <w:rsid w:val="002D61B8"/>
    <w:rsid w:val="002E2E65"/>
    <w:rsid w:val="002F189A"/>
    <w:rsid w:val="003037A9"/>
    <w:rsid w:val="003068B1"/>
    <w:rsid w:val="00327F0E"/>
    <w:rsid w:val="003309EB"/>
    <w:rsid w:val="00334485"/>
    <w:rsid w:val="00356EFC"/>
    <w:rsid w:val="0036637E"/>
    <w:rsid w:val="00367214"/>
    <w:rsid w:val="00367A8F"/>
    <w:rsid w:val="00381AB7"/>
    <w:rsid w:val="00394A61"/>
    <w:rsid w:val="003A20D2"/>
    <w:rsid w:val="003C2D58"/>
    <w:rsid w:val="003E2E92"/>
    <w:rsid w:val="003E31C9"/>
    <w:rsid w:val="003F7BF8"/>
    <w:rsid w:val="00402FB0"/>
    <w:rsid w:val="0040435D"/>
    <w:rsid w:val="004140DC"/>
    <w:rsid w:val="00417641"/>
    <w:rsid w:val="004223D7"/>
    <w:rsid w:val="00424845"/>
    <w:rsid w:val="00436C10"/>
    <w:rsid w:val="0044045C"/>
    <w:rsid w:val="0044212A"/>
    <w:rsid w:val="00454F74"/>
    <w:rsid w:val="0046023C"/>
    <w:rsid w:val="0046173B"/>
    <w:rsid w:val="00461F5E"/>
    <w:rsid w:val="00466389"/>
    <w:rsid w:val="00476C68"/>
    <w:rsid w:val="004824E6"/>
    <w:rsid w:val="00487DBD"/>
    <w:rsid w:val="00491AC1"/>
    <w:rsid w:val="004A5BE3"/>
    <w:rsid w:val="004B4159"/>
    <w:rsid w:val="004C4B95"/>
    <w:rsid w:val="004E1206"/>
    <w:rsid w:val="004E1993"/>
    <w:rsid w:val="004E2EC8"/>
    <w:rsid w:val="004E6212"/>
    <w:rsid w:val="004E7C17"/>
    <w:rsid w:val="004F08AA"/>
    <w:rsid w:val="004F5CCC"/>
    <w:rsid w:val="00505F33"/>
    <w:rsid w:val="005079E2"/>
    <w:rsid w:val="0052316B"/>
    <w:rsid w:val="005414EC"/>
    <w:rsid w:val="00546A98"/>
    <w:rsid w:val="005710DF"/>
    <w:rsid w:val="0058633A"/>
    <w:rsid w:val="00587F79"/>
    <w:rsid w:val="005A0947"/>
    <w:rsid w:val="005A0EDE"/>
    <w:rsid w:val="005A759C"/>
    <w:rsid w:val="005A7938"/>
    <w:rsid w:val="005B19F1"/>
    <w:rsid w:val="005B24C3"/>
    <w:rsid w:val="005B46F0"/>
    <w:rsid w:val="005C112C"/>
    <w:rsid w:val="005C2CB3"/>
    <w:rsid w:val="005D37EF"/>
    <w:rsid w:val="005D6475"/>
    <w:rsid w:val="005E0EDC"/>
    <w:rsid w:val="005F0244"/>
    <w:rsid w:val="005F1679"/>
    <w:rsid w:val="005F1A7A"/>
    <w:rsid w:val="005F57F1"/>
    <w:rsid w:val="00601F0B"/>
    <w:rsid w:val="00610317"/>
    <w:rsid w:val="0061429E"/>
    <w:rsid w:val="00620081"/>
    <w:rsid w:val="00620C10"/>
    <w:rsid w:val="00620CF9"/>
    <w:rsid w:val="006279B7"/>
    <w:rsid w:val="006319C2"/>
    <w:rsid w:val="006345E9"/>
    <w:rsid w:val="00635507"/>
    <w:rsid w:val="00647C56"/>
    <w:rsid w:val="00654AF4"/>
    <w:rsid w:val="00670D3D"/>
    <w:rsid w:val="006729F4"/>
    <w:rsid w:val="006745B4"/>
    <w:rsid w:val="00691491"/>
    <w:rsid w:val="006935FB"/>
    <w:rsid w:val="006A140E"/>
    <w:rsid w:val="006B1F30"/>
    <w:rsid w:val="006B261C"/>
    <w:rsid w:val="006C5E36"/>
    <w:rsid w:val="006D3C07"/>
    <w:rsid w:val="006D4857"/>
    <w:rsid w:val="006D5040"/>
    <w:rsid w:val="006E3857"/>
    <w:rsid w:val="006F1064"/>
    <w:rsid w:val="006F6AF2"/>
    <w:rsid w:val="007012DB"/>
    <w:rsid w:val="00704956"/>
    <w:rsid w:val="007121CC"/>
    <w:rsid w:val="00714C0B"/>
    <w:rsid w:val="00714F3B"/>
    <w:rsid w:val="0072175B"/>
    <w:rsid w:val="00731A69"/>
    <w:rsid w:val="00732397"/>
    <w:rsid w:val="00732B58"/>
    <w:rsid w:val="007376D1"/>
    <w:rsid w:val="0074511F"/>
    <w:rsid w:val="007509C4"/>
    <w:rsid w:val="00754782"/>
    <w:rsid w:val="00761752"/>
    <w:rsid w:val="007640BF"/>
    <w:rsid w:val="00766379"/>
    <w:rsid w:val="00776D12"/>
    <w:rsid w:val="00777298"/>
    <w:rsid w:val="007979F9"/>
    <w:rsid w:val="007B11D9"/>
    <w:rsid w:val="007C6191"/>
    <w:rsid w:val="007D2D35"/>
    <w:rsid w:val="007F11DE"/>
    <w:rsid w:val="007F20C6"/>
    <w:rsid w:val="007F7966"/>
    <w:rsid w:val="00800074"/>
    <w:rsid w:val="00816735"/>
    <w:rsid w:val="0082468E"/>
    <w:rsid w:val="0083695F"/>
    <w:rsid w:val="008400C9"/>
    <w:rsid w:val="0084327E"/>
    <w:rsid w:val="0084780C"/>
    <w:rsid w:val="00852032"/>
    <w:rsid w:val="00854324"/>
    <w:rsid w:val="008734B2"/>
    <w:rsid w:val="00877243"/>
    <w:rsid w:val="0089209A"/>
    <w:rsid w:val="00896290"/>
    <w:rsid w:val="008A11BA"/>
    <w:rsid w:val="008B4B07"/>
    <w:rsid w:val="008B4D65"/>
    <w:rsid w:val="008C077B"/>
    <w:rsid w:val="008C11C1"/>
    <w:rsid w:val="008C2766"/>
    <w:rsid w:val="008D4978"/>
    <w:rsid w:val="008D5881"/>
    <w:rsid w:val="008F1431"/>
    <w:rsid w:val="0091540A"/>
    <w:rsid w:val="009262A9"/>
    <w:rsid w:val="00930A54"/>
    <w:rsid w:val="00934950"/>
    <w:rsid w:val="00935E69"/>
    <w:rsid w:val="0095577A"/>
    <w:rsid w:val="00955CB1"/>
    <w:rsid w:val="00956585"/>
    <w:rsid w:val="00963B13"/>
    <w:rsid w:val="00966F88"/>
    <w:rsid w:val="00974630"/>
    <w:rsid w:val="009825B1"/>
    <w:rsid w:val="00982EF6"/>
    <w:rsid w:val="009869B3"/>
    <w:rsid w:val="009903FF"/>
    <w:rsid w:val="00997D31"/>
    <w:rsid w:val="009A4AB1"/>
    <w:rsid w:val="009C20E4"/>
    <w:rsid w:val="009C328C"/>
    <w:rsid w:val="009D6B3A"/>
    <w:rsid w:val="009E1D29"/>
    <w:rsid w:val="009E6393"/>
    <w:rsid w:val="009E6E33"/>
    <w:rsid w:val="00A00547"/>
    <w:rsid w:val="00A030D5"/>
    <w:rsid w:val="00A12471"/>
    <w:rsid w:val="00A153B4"/>
    <w:rsid w:val="00A221ED"/>
    <w:rsid w:val="00A24F98"/>
    <w:rsid w:val="00A35785"/>
    <w:rsid w:val="00A37CCC"/>
    <w:rsid w:val="00A51418"/>
    <w:rsid w:val="00A530D9"/>
    <w:rsid w:val="00A55A34"/>
    <w:rsid w:val="00A57294"/>
    <w:rsid w:val="00A72847"/>
    <w:rsid w:val="00A73C78"/>
    <w:rsid w:val="00A92C27"/>
    <w:rsid w:val="00A938E0"/>
    <w:rsid w:val="00A974CC"/>
    <w:rsid w:val="00AB2608"/>
    <w:rsid w:val="00AD1985"/>
    <w:rsid w:val="00AD7361"/>
    <w:rsid w:val="00AE0D4C"/>
    <w:rsid w:val="00AE0E06"/>
    <w:rsid w:val="00B060D8"/>
    <w:rsid w:val="00B22B63"/>
    <w:rsid w:val="00B332F1"/>
    <w:rsid w:val="00B40690"/>
    <w:rsid w:val="00B40F5F"/>
    <w:rsid w:val="00B4480C"/>
    <w:rsid w:val="00B61BFF"/>
    <w:rsid w:val="00B805C0"/>
    <w:rsid w:val="00B9595F"/>
    <w:rsid w:val="00B96666"/>
    <w:rsid w:val="00BB08F6"/>
    <w:rsid w:val="00BB1D0C"/>
    <w:rsid w:val="00BB550D"/>
    <w:rsid w:val="00BB5E82"/>
    <w:rsid w:val="00BC2433"/>
    <w:rsid w:val="00BC6CD7"/>
    <w:rsid w:val="00BD2CFB"/>
    <w:rsid w:val="00BD6064"/>
    <w:rsid w:val="00BE7847"/>
    <w:rsid w:val="00C10592"/>
    <w:rsid w:val="00C219DC"/>
    <w:rsid w:val="00C229B4"/>
    <w:rsid w:val="00C25F69"/>
    <w:rsid w:val="00C35C37"/>
    <w:rsid w:val="00C378AF"/>
    <w:rsid w:val="00C45ED1"/>
    <w:rsid w:val="00C4615B"/>
    <w:rsid w:val="00C52D13"/>
    <w:rsid w:val="00C5473C"/>
    <w:rsid w:val="00C57B75"/>
    <w:rsid w:val="00C7265B"/>
    <w:rsid w:val="00C767A7"/>
    <w:rsid w:val="00C77909"/>
    <w:rsid w:val="00C92B64"/>
    <w:rsid w:val="00CB148F"/>
    <w:rsid w:val="00CB6E70"/>
    <w:rsid w:val="00CC5BF8"/>
    <w:rsid w:val="00CD719B"/>
    <w:rsid w:val="00CE1D8C"/>
    <w:rsid w:val="00D00F3F"/>
    <w:rsid w:val="00D025F6"/>
    <w:rsid w:val="00D051B9"/>
    <w:rsid w:val="00D063EC"/>
    <w:rsid w:val="00D126FD"/>
    <w:rsid w:val="00D13EB0"/>
    <w:rsid w:val="00D246AA"/>
    <w:rsid w:val="00D25305"/>
    <w:rsid w:val="00D4737D"/>
    <w:rsid w:val="00D55365"/>
    <w:rsid w:val="00D570F4"/>
    <w:rsid w:val="00D60D92"/>
    <w:rsid w:val="00D65BFD"/>
    <w:rsid w:val="00D67367"/>
    <w:rsid w:val="00D84CD2"/>
    <w:rsid w:val="00D93516"/>
    <w:rsid w:val="00DA0F1A"/>
    <w:rsid w:val="00DA1F5D"/>
    <w:rsid w:val="00DB35BA"/>
    <w:rsid w:val="00DB7928"/>
    <w:rsid w:val="00DC1F0B"/>
    <w:rsid w:val="00DC2CB3"/>
    <w:rsid w:val="00E0709A"/>
    <w:rsid w:val="00E16F8F"/>
    <w:rsid w:val="00E3060E"/>
    <w:rsid w:val="00E464A2"/>
    <w:rsid w:val="00E4772A"/>
    <w:rsid w:val="00E55B24"/>
    <w:rsid w:val="00E5663D"/>
    <w:rsid w:val="00E73E2E"/>
    <w:rsid w:val="00E76213"/>
    <w:rsid w:val="00E77D2E"/>
    <w:rsid w:val="00E82185"/>
    <w:rsid w:val="00E842EE"/>
    <w:rsid w:val="00E845EA"/>
    <w:rsid w:val="00E87265"/>
    <w:rsid w:val="00E90A4E"/>
    <w:rsid w:val="00E93578"/>
    <w:rsid w:val="00E94604"/>
    <w:rsid w:val="00EA0201"/>
    <w:rsid w:val="00EF21E3"/>
    <w:rsid w:val="00EF31E9"/>
    <w:rsid w:val="00EF799F"/>
    <w:rsid w:val="00F01207"/>
    <w:rsid w:val="00F0467D"/>
    <w:rsid w:val="00F0523B"/>
    <w:rsid w:val="00F15FBD"/>
    <w:rsid w:val="00F32862"/>
    <w:rsid w:val="00F458F7"/>
    <w:rsid w:val="00F45D74"/>
    <w:rsid w:val="00F5143E"/>
    <w:rsid w:val="00F56925"/>
    <w:rsid w:val="00F62A8E"/>
    <w:rsid w:val="00F63B46"/>
    <w:rsid w:val="00F71DBD"/>
    <w:rsid w:val="00F753DA"/>
    <w:rsid w:val="00F7783B"/>
    <w:rsid w:val="00FA1B7C"/>
    <w:rsid w:val="00FB0E39"/>
    <w:rsid w:val="00FB2861"/>
    <w:rsid w:val="00FC7AD9"/>
    <w:rsid w:val="00FD1C90"/>
    <w:rsid w:val="00FD63CB"/>
    <w:rsid w:val="00FD6CB8"/>
    <w:rsid w:val="00FE5E05"/>
    <w:rsid w:val="00FE7818"/>
    <w:rsid w:val="00FF0E58"/>
    <w:rsid w:val="00FF4369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31C4A0"/>
  <w15:chartTrackingRefBased/>
  <w15:docId w15:val="{28D5D10D-6F1F-4635-B60F-1CF0927F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679"/>
    <w:pPr>
      <w:spacing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1679"/>
    <w:rPr>
      <w:color w:val="808080"/>
    </w:rPr>
  </w:style>
  <w:style w:type="paragraph" w:styleId="Encabezado">
    <w:name w:val="header"/>
    <w:basedOn w:val="Normal"/>
    <w:link w:val="Encabezado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16F8F"/>
    <w:rPr>
      <w:lang w:val="es-CO"/>
    </w:rPr>
  </w:style>
  <w:style w:type="paragraph" w:styleId="Piedepgina">
    <w:name w:val="footer"/>
    <w:basedOn w:val="Normal"/>
    <w:link w:val="PiedepginaCar"/>
    <w:unhideWhenUsed/>
    <w:rsid w:val="00E16F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16F8F"/>
    <w:rPr>
      <w:lang w:val="es-CO"/>
    </w:rPr>
  </w:style>
  <w:style w:type="paragraph" w:styleId="Sinespaciado">
    <w:name w:val="No Spacing"/>
    <w:uiPriority w:val="1"/>
    <w:qFormat/>
    <w:rsid w:val="00195235"/>
    <w:pPr>
      <w:spacing w:after="0" w:line="240" w:lineRule="auto"/>
    </w:pPr>
    <w:rPr>
      <w:lang w:val="es-CO"/>
    </w:rPr>
  </w:style>
  <w:style w:type="character" w:styleId="Hipervnculo">
    <w:name w:val="Hyperlink"/>
    <w:basedOn w:val="Fuentedeprrafopredeter"/>
    <w:uiPriority w:val="99"/>
    <w:unhideWhenUsed/>
    <w:rsid w:val="00A221ED"/>
    <w:rPr>
      <w:color w:val="0563C1"/>
      <w:u w:val="single"/>
    </w:rPr>
  </w:style>
  <w:style w:type="character" w:customStyle="1" w:styleId="Estilo4">
    <w:name w:val="Estilo4"/>
    <w:basedOn w:val="Fuentedeprrafopredeter"/>
    <w:uiPriority w:val="1"/>
    <w:rsid w:val="005D6475"/>
    <w:rPr>
      <w:rFonts w:ascii="Arial" w:hAnsi="Arial"/>
      <w:sz w:val="1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864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AB260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35785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BE784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C25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OnBase Giga Colombia</dc:creator>
  <cp:keywords/>
  <dc:description/>
  <cp:lastModifiedBy>Fondo de Garantías de Instituciones Financieras </cp:lastModifiedBy>
  <cp:revision>4</cp:revision>
  <dcterms:created xsi:type="dcterms:W3CDTF">2024-05-03T14:32:00Z</dcterms:created>
  <dcterms:modified xsi:type="dcterms:W3CDTF">2024-05-03T14:42:00Z</dcterms:modified>
</cp:coreProperties>
</file>